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22.06.2022, оставленным без изменения постановлением Арбитражного суда Волго-Вятского округа от 31.08.2022,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