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05.05.2022 заявление удовлетворено. Пятнадцатый арбитражный апелляционный суд постановлением от 01.07.2022 определение от 05.05.2022 отменил и в удовлетворении заявления отказал. Арбитражный суд Северо-Кавказского округа постановлением от 02.09.2022 постановление Пятнадцатого арбитражного апелляционного суда от 01.07.2022 оставил без изменения. В кассационной жалобе Саркисов С.О. просит об отмене судебных актов апелляционного и окружного судов, ссылаясь на неправомерность выводов о расходовании денежных средств. 2 Общество «Кавказэлектроконтроль» в кассационной жалобе указывает на ненадлежащую оценку судом целей и размера совершенных должником переводов.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Установленное периодическое перечисление денежных средств на содержание ребенка суды признали не создающим условий для недействительности сделки как в силу законодательства о банкротстве, так и по общегражданским основаниям. Иная оценка обстоятельств спора не создает оснований для пересмотра судебного акта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Саркисову С.О. и обществу с ограниченной ответственностью «Кавказэлектроконтроль»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