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28.03.2022, оставленным без изменения постановлением Тринадцатого арбитражного апелляционного суда от 07.07.2022 и постановлением Арбитражного суда Северо-Западного округа от 13.09.2022, в удовлетворении заявления отказано. В кассационной жалобе ФИО1 просит об отмене судебных актов, ссылаясь на неправильную оценку обстоятельств заключения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сделок и в силу законодательства о банкротстве, и по общегражданским основаниям. Иная оценка обстоятельств заключения спорных сделок купли-продажи заявителем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ПАО "Социально-коммерческий банк Приморья" (подробнее) ПАО СОЦИАЦЛЬНО КОММЕРЧЕСКИЙ БАНК ПРИМОРЬЯ ПРИМСОЦБАНК (подробнее) Иные лица: АО "РОССЕЛЬХОЗБАНК" в лице регионального филиала Центр розничного и малого бизнеса (подробнее) АС СПб и ЛО (подробнее) Межрайонная инспекция Федеральной налоговой службы №7 по Ленинградской области (подробнее) МИФНС №23 (подробнее) НП "Объединение арбитражных управляющих "Авангард" (подробнее) Управление Росреестра по Ленинградской области (подробнее) ФГБУ "Федеральная кадастровая палата Федеральной службы государственной регистрации, кадастра и картографии" (подробнее) Ф/у Васильев Юрий Николаевич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