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Власенко Николай Владимирович обратился в суд с заявлениями, объединёнными в одно производство для совместного рассмотрения, в которых просил признать недействительными сделками договоры от 02.09.2016, № ЗУ1903 от 26.02.2018, заключенные между должником и Караяниди Евгением Владимировичем; применении последствий недействительности сделки в виде возврата в конкурсную массу должника действительной рыночной стоимости переданных по сделкам земельных участков в совокупном размере 3 550 000 рублей. Определением Арбитражного суда Иркутской области от 22.03.2022, оставленным без изменения постановлениями Четвёртого арбитражного апелляционного суда от 26.05.2022 и Арбитражного суда Восточно-Сибирского округа от 07.09.2022,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исходили из того, что оспариваемые конкурсным управляющим подозрительные сделки совершены неплатёжеспособным должником в пользу заинтересованного лица с целью причинения вреда имущественным правам кредиторов, в связи с чем признали их недействительными, правомерно применив недействительности сделок.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Гудаевой Светлане Вениаминовне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