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27.01.2022, оставленным без изменения постановлением Восьмого арбитражного апелляционного суда от 25.04.2022 и постановлением Арбитражного суда Западно-Сибирского округа от 02.08.2022, в удовлетворении жалобы отказано. В кассационной жалобе Ганак А.М. просит об отмене судебных актов, ссылаясь на игнорирование привлечения управляющего к административной ответственности за несвоевременную опись и оценку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Вопреки доводу должника суды исследовали каждое вменяемое управляющим бездействие и оценили его последствия для должника и кредиторов применительно к статьям 20.3, 213.9 Федерального закона от 26.10.2002 № 127-ФЗ «О несостоятельности (банкротстве)» и их судебному толкованию.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Ганаку Андрею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