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18.02.2022, оставленным без изменения постановлением Четырнадцатого арбитражного апелляционного суда от 20.05.2022 и постановлением Арбитражного суда Северо-Западного округа от 01.08.2022, в удовлетворении заявления о отказано. В кассационной жалобе Коротаев М.В. просит об отмене судебных актов, ссылаясь на игнорирование судами бездействия финансового управляющего и нарушения прав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Деятельность финансового управляющего оценена применительно к доводам кредитора и статьям 20.3, 213.9 Федерального закона от 26.10.2002 № 127-ФЗ «О несостоятельности (банкротстве)» как не повлекшая нарушения прав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Коротаеву Михаилу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