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30.11.2021 заявление удовлетворено. Постановлением Седьмого арбитражного апелляционного суда от 28.06.2022, оставленным без изменения постановлением Арбитражного суда Западно-Сибирского округа от 22.09.2022, определение отменено по безусловному основанию, заявление удовлетворено. В кассационной жалобе ФИО1 просит об отмене судебных актов апелляционного и окружного судов, ссылаясь на отсутствие условий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бездействие управляющего в вопросе оспаривания сделки должника, приведшее к непопаданию в конкурсную массу имущества на заявленную в качестве убытков сумму. Иная оценка перспектив оспаривания сделки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Администрация Барабинского района НСО (подробнее) Арбитражный суд Западно-Сибирского округа (подробнее) ГУ МОТН и РАМТС ГИБДД МВД по НСО (подробнее) Межрайонная ИФНС №5 по Новосибирской области (подробнее) ПАО АКЦИОНЕРНЫЙ КОММЕРЧЕСКИЙ БАНК "РОССИЙСКИЙ КАПИТАЛ" (подробнее) ПАО НСКБ Левобережный (подробнее) Седьмой арбитражный апелляционный суд (подробнее) Управление по вопросам миграции, МВД России города Барнаула (подробнее) ф/у Усков Антон Сергеевич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