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02.02.2022 требование кредитора в размере 225 781 979 рублей 91 копейки включено в третью очередь реестра. Пятнадцатый арбитражный апелляционный суд постановлением от 30.05.2022 изменил определение от 02.02.2022 и признал требование кредитора в заявленном размере подлежащим удовлетворению за счет имущества должника, оставшегося после удовлетворения требований кредиторов третьей очереди реестра. Арбитражный суд Северо-Кавказского округа постановлением от 03.08.2022 отменил постановление апелляционного суда от 30.05.2022 и оставил в силе определение от 02.02.2022. В кассационной жалобе общество «ВТБ Факторинг» просит об отмене судебных актов, ссылаясь на игнорирование корпоративного характера сделок, положенных в основание требования, и неосновательное неприменение правила о понижении очередности к заявленному требованию.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денежного обязательства должника, поэтому удовлетворили заявление о включении требования в реестр в соответствии со статьями 71, 100 Федерального закона от 26.10.2002 № 127-ФЗ «О несостоятельности (банкротстве)» и их судебным толкованием. Правило о понижении очередности не применяется в процедуре банкротства физического лица.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«ВТБ Факторинг»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