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Харитонова Александра Владимировича в Арбитражный суд Томской области обратился финансовый управляющий его имуществом с заявлением о признании недействительным договора дарения транспортного средства, заключенного 01.06.2018 между должником и Харитоновой Тамарой Геннадьевной, и применении последствий недействительности сделки. В связи с отказом финансового управляющего Салата Дениса Викторовича от заявления о признании недействительным договора дарения транспортного средства заявление поддержано кредитором Харитоновой Н.М. Определением Арбитражного суда Томской области от 16.03.2022 в удовлетворении заявления отказано. Постановлением Седьмого арбитражного апелляционного суда от 16.05.2022 определение суда первой инстанции оставлено без изменения. Арбитражный суд Западно-Сибирского округа постановлением от 19.08.2022 указанные судебные акты оставил без изменения. Харитонова Н.М.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статьей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договора дарения недействительным как совершенного с целью причинения вреда имущественным правам кредиторов. В частности, суды установили, что на момент совершения сделки у должника отсутствовали признаки неплатежеспособности, задолженность, имевшаяся на дату совершения оспариваемой сделки перед Харитоновой Н.М., погашена должником в полном объеме, иных обязательств у должника на дату заключения оспариваемой сделки не имелось, оснований для оспаривания сделки по общим основаниям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