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Новгородской области от 04.02.2022, оставленным без изменения постановлением Четырнадцатого арбитражного апелляционного суда от 21.04.2022 и постановлением Арбитражного суда Северо-Западного округа от 28.07.2022, заявление удовлетворено. В кассационной жалобе ФИО1 просит об отмене судебных актов, ссылаясь на неподтвержденность выводов судов о наличии у него истребованных транспортных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не доказанным отчуждение, гибель, утрату находящихся в собственности должника транспортных средств, поэтому в силу статьи 213.9 Федерального закона от 26.10.2002 № 127-ФЗ «О несостоятельности (банкротстве)» и статей 65 , 71 Арбитражного процессуального кодекса Российской Федерации обоснованно удовлетворили заявление.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Арбитражный суд Северо-Западного округа (подробнее) ГУ Управление по вопросам миграции МВД России по городу Москве (подробнее) МВД России (подробнее) Отдел экономической безопасности и противодействия коррупции УМВД России по г.Великий Новгород (подробнее) ПАО " Банк" Санкт-Петербург" (подробнее) Солецкий районный суд Новгородской области (подробнее) СРО союз арбитражных управляющих " "Дело"" (подробнее) ФУ Лапин А.О. (подробнее) Четырнадцатый арбитражный апелляционный суд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