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Лазебника Г.И. в Арбитражный суд города Москвы обратилась финансовый управляющий его имуществом Кравченко Ю.В. с заявлением о признании недействительной сделкой договора дарения квартиры от 27.06.2017, заключенного между должником и Лазебником Адамом Германовичем, и применении последствий недействительности сделки. Определением Арбитражного суда города Москвы от 16.12.2021 в удовлетворении заявления отказано. Постановлением Девятого арбитражного апелляционного суда от 01.03.2022 определение суда первой инстанции оставлено без изменения. Арбитражный суд Московского округа постановлением от 29.07.2022 указанные судебные акты оставил без изменения. Финансовый управляющий Кравченко Ю.В.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положениями статьи 24 Гражданского кодекса Российской Федерации, статьей 446 Гражданского процессуального кодекса Российской Федерации, статьями 61.2, 213.25 Федерального закона от 26.10.2002 № 127-ФЗ «О несостоятельности (банкротстве)», разъяснениями, изложенными 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пунктах 3, 4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недоказанности факта причинения вреда имущественным правам кредиторов, поскольку имущество, отчужденное по оспариваемой сделке, является единственным пригодным для постоянного проживания должника и членов его семьи жильем.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