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ноября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несостоятельности (банкротстве) Мешалкина В.Я. в Арбитражный суд Челябинской области обратился кредитор – Иванов О.Г. с заявлением о признании недействительными сделок по отчуждению земельных участков, заключенных между Мешалкиной М.В. и Костиной Е.В., и применении последствий их недействительности в виде восстановления права собственности на земельные участки супруги должника – Мешалкиной М.В., существовавшего до совершения недействительных сделок, и включении в конкурсную массу должника спорных земельных участков. Одновременно Ивановым О.Г. было заявлено ходатайство о принятии обеспечительных мер в виде запрета регистрирующему органу совершать регистрационные действия в отношении спорного недвижимого имущества. Определением Арбитражного суда Челябинской области от 06.08.2018 ходатайство Иванова О.Г. о принятии обеспечительных мер удовлетворено: Управлению Федеральной службы государственной регистрации, кадастра и картографии по Челябинской области запрещено совершать любые регистрационные действия в отношении спорных объектов недвижимости. Кожевников В.С. обратился в Арбитражный суд Челябинской области с заявлением об отмене принятых обеспечительных мер. Определением Арбитражного суда Челябинской области от 23.12.2021, оставленным без изменения постановлением Восемнадцатого арбитражного 2 апелляционного суда от 01.04.2022 и постановлением Арбитражного суда Уральского округа от 23.08.2022, принятые обеспечительные меры отменены. Мешалкин В.Я. обратился в Судебную коллегию Верховного Суда Российской Федерации с кассационной жалобой на принятые по спору судебные акты, ссылаясь на существенные нарушения норм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обжалуемых судебных актов в кассационном порядке по доводам жалобы не установлено. Удовлетворяя заявление и отменяя обеспечительные меры, суды руководствовались статьей 46 Федерального закона от 26.10.2002 № 127-ФЗ «О несостоятельности (банкротстве)», статьей 97 Арбитражного процессуального кодекса Российской Федерации и исходили из того, что обстоятельства, послужившие основанием для принятия обеспечительных мер, в настоящее время отпали, заявитель является победителем торгов, а принятые обеспечительные меры создают препятствия по оформлению прав на приобретенное имущество.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291.6, 291.8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