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 заявлению банка подлежал разрешению вопрос, касающийся разногласий, возникших между банком, конкурсным управляющим должником и Управлением Федеральной налоговой службы России по Курской области (далее – уполномоченный орган) об определении очерёдности уплаты налога на добавленную стоимость в размере 135 831 964 рубля, подлежащего к восстановлению в связи с реализацией имущества должника в третьем квартале 2021 года (далее – налог). Определением Арбитражного суда Курской области от 24.03.2022, оставленным без изменения постановлением Девятнадцатого арбитражного апелляционного суда от 01.06.2022, установлено, что уплата налога производится в порядке третьей очереди реестра требований кредиторов должника (далее – реестр). Постановлением Арбитражного суда Центрального округа от 22.08.2022 отменены определение суда первой инстанции от 24.03.2022 и постановление апелляционного суда от 01.06.2022; установлено, что уплата налога производится в порядке пятой очереди текущих платежей. 2 В кассационных жалобах, поданных в Верховный Суд Российской Федерации, заявители просят отменить названное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разрешая разногласия, суд округа, руководствуясь положениями подпункта 2 пункта 3 статьи 170 Налогового кодекса Российской Федерации, статей 5, 134 Федерального закона от 26.10.2002 № 127-ФЗ «О несостоятельности (банкротстве)», правовой позицией, изложенной в абзаце 10 пункта 1 постановления Пленума Высшего Арбитражного Суда Российской Федерации от 25.01.2013 № 11 «Об уплате налога на добавленную стоимость при реализации имущества должника, признанного банкротом», пункте 6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исходил из того, что в силу прямого указания закона сумма налога, подлежащая восстановлению в 3 квартале 2021 года в связи с реализацией 17.09.2021 имущества должника, дело о банкротстве которого возбуждено 12.12.2018, является текущим требованием уполномоченного органа с удовлетворением в режиме пятой очереди текущих платежей должника, а не в режиме третьей очереди реестра, как это определено судами первой и апелляционной инстанций по аналогии права согласно пункту 2 статьи 6 Гражданского кодекса Российской Федерации.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«Щигры Главпродукт» Люнину Андрею Геннадьевичу и публичному акционерному обществу «Сбербанк России»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