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ФИО2 обратилась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ИП ФИО1 134 400 рублей задолженности по оплате перевозки, 200 000 рублей неосновательного обогащения в виде возвращенной предоплаты за перевозку, 30 000 рублей неосновательного обогащения в виде стоимости переработки товара. Решением Арбитражного суда Московской области от 01.11.2021 иск удовлетворен. Постановлением Десятого арбитражного апелляционного суда от 04.04.2022 решение суда первой инстанции оставлено без изменения. Арбитражный суд Московского округа постановлением от 01.08.2022 указанные судебные акты оставил без изменения. ИП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309 , 393 , 395 , 1102 , 1105 Гражданского кодекса Российской Федерации, учитывая преюдициальное значение вступившего в законную силу судебного акта по делу № А12-22132/2020 Арбитражного суда Волгоградской области, отсутствие доказательств возмещения истцу (агенту) расходов, связанных с исполнением договора перевозки, и наличие у ответчика (принципала) обязанности по оплате спорной перевозки, суды пришли к выводу об обоснованности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Павлова Александра Ивановна (подробнее) Ответчики: ИП Римская Татьяна Викторовна (подробнее) Судьи дела: Зарубина Е.Н. (судья)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