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Багирян Л.В. Арбитражным судом города Москвы рассмотрены заявление ООО «ТехноСервис» о включении в реестр требований кредиторов должника задолженности по договору займа и заявление финансового управляющего о признании недействительным этого договора займа с дополнительным соглашением и применении последствий недействительности сделки. Определением Арбитражного суда города Москвы от 28.03.2022, оставленным без изменения постановлением Девятого арбитражного апелляционного суда от 30.05.2022 и постановлением Арбитражного суда Московского округа от 23.08.2022, в удовлетворении заявления финансового управляющего отказано; требование кредитора включено в третью очередь реестра требований кредиторов должника. Хапаева М.С.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807, 808 Гражданского кодекса Российской Федерации, статьями 61.2,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суды пришли к выводам о реальности заемных отношений между должником и кредитором и отсутствии надлежащих доказательств мнимости сделки и направленности действий сторон сделки на создание искусственной кредиторской задолженности.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