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24 ноября 2022 г. по делу № А60-37729/2021 Верховный Суд Российской Федерации - Гражданское Суть спора: о возмещении вреда 79018_1905993 ВЕРХОВНЫЙ СУД РОССИЙСКОЙ ФЕДЕРАЦИИ ОПРЕДЕЛЕНИЕ № 309-ЭС22-22065 г. Москва 24.11.2022 Судья Верховного Суда Российской Федерации Першутов А. Г., изучив кассационную жалобу Государственного автономного учреждения здравоохранения Свердловской области «Центральная городская клиническая больница № 24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здравоохранения Свердловской области «Центральная городская клиническая больница № 24 город Екатеринбург»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АНО ГОСУДАРСТВЕННОЕ АВТОНОМНОЕ УЧРЕЖДЕНИЕ ЗДРАВООХРАНЕНИЯ СВЕРДЛОВСКОЙ ОБЛАСТИ ОБЛАСТНАЯ ДЕТСКАЯ КЛИНИЧЕСКАЯ БОЛЬНИЦА (подробнее) АНО ГОСУДАРСТВЕННОЕ АВТОНОМНОЕ УЧРЕЖДЕНИЕ ЗДРАВООХРАНЕНИЯ СВЕРДЛОВСКОЙ ОБЛАСТИ ЦЕНТРАЛЬНАЯ ГОРОДСКАЯ КЛИНИЧЕСКАЯ БОЛЬНИЦА №24 ГОРОД ЕКАТЕРИНБУРГ (подробнее) ГУ СВЕРДЛОВСКОЕ РЕГИОНАЛЬНОЕ ОТДЕЛЕНИЕ ФОНДА СОЦИАЛЬНОГО СТРАХОВАНИЯ РОССИЙСКОЙ ФЕДЕРАЦИИ (подробнее) Ответчики: МУНИЦИПАЛЬНОЕ АВТОНОМНОЕ УЧРЕЖДЕНИЕ "ЦЕНТРАЛЬНАЯ ГОРОДСКАЯ КЛИНИЧЕСКАЯ БОЛЬНИЦА №24"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