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договора об уступке прав (требований) № Ц-1 от 30.06.2017, заключенного между должником и публичным акционерным обществом Банк «Возрождение», правопреемником которого является акционерное общество «БМ-Банк»; применении последствий ее недействительности. Определением Арбитражного суда города Москвы от 18.02.2022, оставленным без изменения постановлениями Девятого арбитражного апелляционного суда от 28.04.2022 и Арбитражного суда Московского округа от 22.07.2022,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недействительной оспариваемой сделки, совершённой за пределами трёхлетнего периода подозрительности, не установив у неё пороков, выходящих за пределы дефектов подозрительных сделок.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«Останкинский молочный комбинат» Ковриге Алексею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