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Ссылки в жалобе на иную судебную практику не подтверждают нарушение единообразия в толковании и применении норм права с учетом установленных обстоятельств по делу.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"С-Строй"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