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04.11.2021, оставленным без изменения постановлением Тринадцатого арбитражного апелляционного суда от 14.02.2022 и постановлением Арбитражного суда Северо-Западного округа от 13.05.2022, требования банка включены в третью очередь реестра в размере 28 600 627 рублей 92 копеек основного долга и 842 347 рублей 26 копеек процентов отдельно как подлежащих удовлетворению после погашения основной суммы задолженности. В кассационной жалобе банк просит об отмене судебных актов в части отдельного учета процентов, ссылаясь на ошибочное определение их правовой природы.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банка о том, что спорные проценты по правовой природе являются процентами, предусмотренными статьей 317.1 Гражданского кодекса Российской Федерации, опровергается содержанием договора о предоставлении банковской гарантии от 11.03.2016 № БГ/010/16, согласно которому проценты начисляются в случае неисполнения или ненадлежащего исполнения принципалом обязательства по уплате банку выплаченной по гарантии суммы. Довод банка о том, что судебными актами проценты включены в реестры основного должника и других поручителей по правилам об основном долге не опровергает законности обжалуемых судебных актов и не означает фактического учета процентов в реестрах этих лиц в таком качестве.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«Тимер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"ТИМЕР БАНК" (подробнее) Иные лица: ПАО РОСБАНК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