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21.06.2022, оставленным без изменения постановлением того же суда от 29.08.2022,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