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18.11.2022 направило в Верховный Суд Российской Федерации кассационную жалобу и одновременно заявило ходатайство о восстановлении пропущенного срока и предоставлении отсрочки уплаты государственной пошлины.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Нарушение порядка подачи первоначальной и повторной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При наличии доказательств тяжелого финансового положения предприятие не было лишено возможности своевременно обратиться с ходатайством об отсрочке уплаты государственной пошлины при подаче первоначальной кассационной жалобы.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Поскольку в удовлетворении ходатайства о восстановлении срока на подачу кассационной жалобы отказано, ходатайство об отсрочке уплаты государственной пошлины подлежит оставлению без рассмотрения.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Руководствуясь статьями 117 , 184 ,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частного предприятия «Фирма Иридан» о восстановлении пропущенного срока отказать, кассационную жалобу возвратить заявителю. Судья Верховного Суда А.Г.Першутов Российской Федерации Суд: Верховный Суд РФ (подробнее) Истцы: ИНДИВИДУАЛЬНОЕ ЧАСТНОЕ ПРЕДПРИЯТИЕ "ФИРМА ИРИДАН" (подробнее) Ответчики: ГУ ГЛАВНОЕ УПРАВЛЕНИЕ ПЕНСИОННОГО ФОНДА РОССИЙСКОЙ ФЕДЕРАЦИИ №2 ПО Г. МОСКВЕ И МОСКОВСКОЙ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