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Бондаренко В.Ю. в Арбитражный суд Краснодарского края обратилось ООО «СтройАвто» в лице конкурсного управляющего Штин Ю.Б. с заявлением о включении в реестр требований кредиторов должника задолженности в размере 28 490 000 рублей. Определением Арбитражного суда Краснодарского края от 07.02.2022, оставленным без изменения постановлением Пятнадцатого арбитражного апелляционного суда от 09.06.2022 и постановлением Арбитражного суда Северо-Кавказского округа от 03.08.2022, требование ООО «СтройАвто» включено в третью очередь реестра требований кредиторов должника. Бондаренко В.Ю.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71, 100, 213.25 Федерального закона от 26.10.2002 № 127-ФЗ «О несостоятельности (банкротстве)», статьей 1102 Гражданского кодекса Российской Федерации и исходили из обоснованности заявленного требования, наличия доказательств, подтверждающих задолженность, отсутствия доказательств расходования подотчетных сумм и оприходования товарно-материальных ценностей, приобретенных за счет этих денежных средств должником, отклонив доводы относительно пропуска срока исковой давности.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