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22.04.2022, оставленным без изменения постановлением Девятнадцатого арбитражного апелляционного суда от 29.06.2022 и постановлением Арбитражного суда Центрального округа от 15.09.2022, в удовлетворении заявления отказано. В кассационной жалобе ФИО1 просит об отмене судебных актов, ссылаясь на недоказанность отсутствия у должника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недоказанным фактическое нахождение истребуемого финансовым управляющим имущества (транспортных средств) у должника и в силу статьи 213.9 Федерального закона от 26.10.2002 № 127-ФЗ «О несостоятельности (банкротстве)» и статей 16 , 65 , 71 Арбитражного процессуального кодекса Российской Федерации отказали в удовлетворении заявления.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Национальный Банк "Траст" (подробнее) ООО "Феникс" (подробнее) ПАО "Банк ВТБ" (подробнее) Управление ЗАГС Воронежской области (подробнее) Иные лица: Ассоциация "ДМСО ПАУ" (подробнее) ФНС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