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26.01.2022, оставленным без изменения постановлением Четвертого арбитражного апелляционного суда от 12.04.2022 и постановлением Арбитражного суда Восточно-Сибирского округа от 19.07.2022, в удовлетворении иска отказано. В кассационной жалобе общество «ОТК» просит об отмене судебных актов, ссылаясь на несоответствие их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обоснованности требования о применении ответственности суды руководствовались ее договорным характером и обстоятельствами исполнения конкретной заявки, к условиям которой отсылает договор как неотъемлемой его части.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«ОТК»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"ОТК" (подробнее) Ответчики: ООО "РВМ Групп"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