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05.04.2022, оставленным без изменения постановлением Первого арбитражного апелляционного суда от 23.06.2022 и постановлением Арбитражного суда Волго-Вятского округа от 12.09.2022, в удовлетворении заявления отказано. В кассационной жалобе Алямкин А.А. просит об отмене постановления окружного суда, указывая на несоответствие его выводов Конституции РФ.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Заявление о вознаграждении арбитражного управляющего разрешается в соответствии с Арбитражным процессуальным кодексом Российской Федерации, Федеральным законом от 26.10.2002 № 127-ФЗ «О несостоятельности (банкротстве)» и их официальным толкованием, примененными окружным судом к обстоятельствам рассматриваемого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Алямкину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