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14.11.2022 с ходатайством о восстановлении срока. Заявитель указывает, что получил право на обжалование с момента включения его требования в реестр должника.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жалобой, в том числе в связи с отсутствием у него сведений об обжалуемом судебном акте, по ходатайству указанного лица может быть восстановлен судьей,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Агамирян С.Г. включен в реестр требований должника согласно определению от 05.05.2022. В соответствии с частью 2 статьи 117 Арбитражного процессуального кодекса Российской Федерации при подаче ходатайства за пределами 2 шестимесячного срока восстановление срока на обжалование судебных актов не допускается. Агамирян С.Г. подал ходатайство за пределами названного срока, поэтому срок восстановлению не подлежит. Учитывая подачу документов в электронном виде, жалоба не рассматривается по существу, а уплаченная государственная пошлина принимаемым определением не возвращается.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Агамиряну Саркису Гургеновичу в восстановлении срока подачи кассационной жалобы на постановление Одиннадцатого арбитражного апелляционного суда от 28.12.2021 и постановление Арбитражного суда Поволжского округа от 11.04.2022 по делу № А55-14944/2019 Арбитражного суда Самарской области.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