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банк, будучи не участвующим в споре лицом, подает кассационную жалобу на судебные акты, считая их затрагивающими его интересы как кредитора Сарапкиной М.М. Согласно части 1 статьи 291.1 Арбитражного процессуального кодекса Российской Федерации правом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принят судебный акт. Заявитель не относится к кругу поименованных в указанных нормах лиц. 2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Учитывая отсутствие у заявителя права на подачу жалобы, ходатайства о восстановлении срока на обжалование судебных актов и приостановлении их исполнения, поданное вместе с жалобой, рассмотрению не подлежат.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возвращаются, жалоба не рассматривается по существу.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публичному акционерному обществу «РОСБАНК» кассационную жалобу на постановление Третьего арбитражного апелляционного суда от 12.07.2021 и постановление Арбитражного суда Восточно-Сибирского округа от 04.10.2021, принятые в деле № А33-634/2019 Арбитражного суда Красноярского края.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