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25.10.2021, оставленным без изменения постановлением Второго арбитражного апелляционного суда от 04.03.2022, исковые требования удовлетворены частично, спорные условия договора утверждены в редакции, изложенной в резолютивной части решения. Постановлением Арбитражного суда Волго-Вятского округа от 22.06.2022 решение суда первой инстанции и постановление суда апелляционной инстанции отменены, дело направлено на новое рассмотрение в Арбитражный суд Республики Коми. В кассационной жалобе, поданной в Верховный Суд Российской Федерации, предприниматель,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Таких оснований для пересмотра судебного акта по доводам кассационной жалобы, изученным по материалам истребованного дела, не установлено. Отменяя судебные акты судов первой и апелляционной инстанций и направляя дело на новое рассмотрение, суд округа исходил из того, что суды не исследовали все обстоятельства, имеющие существенное значение для правильного разрешения спора. Доводы заявителя в силу статьи 291.6 Арбитражного процессуального кодекса Российской Федерации не являются основанием для передачи кассационной жалобы для рассмотрения в судебном заседании Судебной коллегии Верховного Суда Российской Федерации.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Голованова Геннадия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