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«Сибпроммонтаж» обратилось в Арбитражный суд Новосибирской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«Сибирь-Каинск» о взыскании 3 400 000 рублей задолженности, 330 050 рублей пени. Решением Арбитражного суда Новосибирской области от 13.10.2020, оставленным без изменения постановлением Седьмого арбитражного апелляционного суда от 26.01.2021 и постановлением Арбитражного суда Западно-Сибирского округа от 30.04.2021, требования удовлетворены. Не согласившись с принятыми судебными актами, Стафиевский Александр Геннадьевич (единственный участник ответчика) обратился в порядке статьи 42 АПК РФ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2 установленным настоящим Кодексом. Такие лица пользуются правами и несут обязанности лиц, участвующих в деле.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30.04.2021, а кассационная жалоба подана в Верховный Суд Российской Федерации через систему Мой арбитр в Информационно-телекоммуникационной сети Интернет 14.11.2022,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Стафиевского Александра Геннадьевича. Срок подачи кассационной жалобы на решение Арбитражного суда Новосибирской области от 13.10.2020, постановление Седьмого арбитражного апелляционного суда от 26.01.2021 и постановление Арбитражного суда Западно- Сибирского округа от 30.04.2021 по делу № А45-3401/2020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