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11.01.2021 признана недействительной сделка по перечислению должником в пользу общества «Профит» денежных средств на общую сумму 43 296 382 рубля 95 копеек. Не согласившись с названным судебным актом, бывший руководитель должника Гзырянц М.А., привлеченная в рамках дела о банкротстве к субсидиарной ответственности, обратилась с апелляционной жалобой. Определением Девятого арбитражного апелляционного суда от 27.05.2022, оставленным без изменения постановлением Арбитражного суда Московской округа от 11.08.2022, апелляционная жалоба возвращена заявителю. В кассационной жалобе, поданной в Верховный Суд Российской Федерации, заявитель просит отменить определение суда первой инстанции от 11.01.2021, определение суда апелляционной инстанции от 27.05.2022 и постановление округа от 11.08.2022, дело направить на новое рассмотрение. Письмом Верховного Суда Российской Федерации от 29.09.2022 № 305–ЭС22–21506 кассационная жалоба заявителя в части обжалования 2 определения суда первой инстанции от 11.01.2021 возвращена без рассмотрения на основании пункта 5 части 1 статьи 291.5 Арбитражного процессуального кодекса Российской Федерации, как поданная с нарушением правил подсудности, установленных частью 2 статьи 291.1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Гзырянц Марии Арамовне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