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Кузьменко Василий Николаевич обратился в суд с заявлением о признании недействительной сделки по отчуждению Костыгиной Светланой Анатольевной в пользу Осоченко Сергея Алексеевича жилого помещения с кадастровым номером 52:40:0301003:658 и применении последствий недействительности сделки в виде возврата квартиры в общую совместную собственность Костыгиной С.А. и Костыгина Д.В. Определением Арбитражного суда города Санкт-Петербурга и Ленинградской области от 01.09.2021, оставленным без изменения постановлениями Тринадцатого арбитражного апелляционного суда от 29.03.2022 и Арбитражного суда Северо-Западного округа от 25.07.2022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акты, признать оспариваемую сделку недействительной и применить последствия её недействительности.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168, 170 Гражданского кодекса Российской Федерации, статьи 25 Семейного кодекса Российской Федерации, пунктом 1 статьи 61.2 Федерального закона от 26.10.2002 № 127-ФЗ «О несостоятельности (банкротстве)», исходили из недоказанности совокупности обстоятельств, необходимых для признания оспариваемой сделки недействительной.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ВТБ Факторинг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