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04.06.2021 удовлетворено заявление конкурсного управляющего Ясенкова Михаила Николаевича о привлечении Лазарева И.В. к субсидиарной ответственности по обязательствам должника, производство по заявлению в части определения размера ответственности приостановлено до окончания формирования конкурсной массы и расчёта с кредиторами. Определением Арбитражного суда города Москвы от 21.09.2021 установлен размер субсидиарной ответственности Лазарева И.В. в сумме 25 311 358 рублей 86 копеек по обязательствам должника. Не согласившись с определением суда первой инстанции от 21.09.2021, заявитель обратилась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30.05.2022, оставленным без изменения постановлением Арбитражного суда Московского округа от 20.07.2022, апелляционная жалоба возвращена заявителю на основании пункта 3 части 1 статьи 264 Арбитражного процессуального кодекса Российской Федерации. 2 В кассационной жалобе, поданной в Верховный Суд Российской Федерации, заявитель просит отменить оспариваемые судебные акты, направить обособленный спор на новое рассмотрение в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117, 184, 259, 264 Арбитражного процессуального кодекса Российской Федерации, разъяснениями, содержащимися в постановлении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пропуска заявителем процессуального срока на её подачу и отсутствия уважительных причин для его восстановления.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Лазареву Ивану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