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Верховного Суда Российской Федерации от 17.10.2022 № 304-ЭС22-18310 обществу с ограниченной ответственностью «Пакер Сервис» отказано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В определении допущена опечатка при указании заявителя кассационной жалобы: вместо «общества с ограниченной ответственностью «Пакер Сервис» указано «общества с ограниченной ответственностью «Паркер Сервис». Названная опечатка подлежит исправлению в соответствии с частью 3 статьи 179 Арбитражного процессуального кодекса Российской Федерации. Руководствуясь статьями 179, 184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заявление общества с ограниченной ответственностью «Лукойл-Западная Сибирь» удовлетворить. Исправить опечатку в определении судьи Верховного Суда Российской Федерации от 17.10.2022 № 304-ЭС22-18310: вместо «общества с ограниченной ответственностью «Паркер Сервис» читать - «общества с ограниченной ответственностью «Пакер Сервис». Судья Верховного Суда Российской Федерации Н.С. Чучунова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