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производстве Верховного Суда Российской Федерации находится кассационная жалоба общества на указанные судебные акты. До рассмотрения кассационной жалобы по существу от общества поступило ходатайство об отказе от кассационной жалобы, подписанное представителем Бургоновым В.В. по доверенности от 28.07.2021 № 38-Д/Р-2021. Однако в данной доверенности отсутствует указание на наделение названного представителя полномочиями на совершение от имени общества таких процессуальных действий как заявление ходатайства об отказе (возврате) от жалобы (иска). Таким образом, поскольку лицо, подавшее ходатайство об отказе от кассационной жалобы, не подтвердило наличие у него соответствующих полномочий, данное ходатайство удовлетворению не подлежит. Руководствуясь статьей 184 Арбитражного процессуального кодекса Российской Федерации, судья Верховного Суда Российской Федерации 2</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«Инжиниринговая компания «РГП» в удовлетворении ходатайства об отказе от кассационной жалобы на решение Арбитражного суда города Москвы от 23.12.2021, постановление Девятого арбитражного апелляционного суда от 23.03.2022 и постановление Арбитражного суда Московского округа от 25.07.2022 по делу № А40-156749/2021.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