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для обеспечения своей деятельности следующих специалистов: помощника конкурсного управляющего ФИО2 на основании договоров оказания услуг от 01.08.2018 и от 07.09.2018 с размером оплаты услуг 10 000 рублей и в 20 000 рублей месяц; бухгалтера ФИО3 на основании договора оказания услуг от 01.08.2018 с размером оплаты услуг 5 000 рублей в месяц; юриста ФИО4 на основании договора оказания услуг от 01.08.2018 с размером оплаты услуг 20 000 рублей в месяц. Определением Арбитражного суда Нижегородской области от 11.03.2019, оставленным без изменения постановлениями Первого арбитражного апелляционного суда от 31.05.2019 и Арбитражного суда Волго-Вятского округа от 05.09.2019, заявление удовлетворено в части признания обоснованным привлечения бухгалтера ФИО3 для оказания услуг по ведению бухгалтерского учёта должника с установлением размера оплаты оказанных услуг в сумме 5 000 рублей ежемесячно; в удовлетворении остальной части заявления отказано. В кассационной жалобе, поданной в Верховный Суд Российской Федерации, заявитель просит отменить указанные судебный акты и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 руководствовались статьями 19, 20.3, 20.7, 129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РФ от 17.12.2009 № 91 «О порядке погашения расходов по делу о банкротстве», и исходили из презумпции компетентности конкурсного управляющего, оставшегося заявителю объёма работы и недоказанности последним необходимости привлечения на договорной основе специалистов для оказания ему услуг помощника арбитражного управляющего, юриста и специалиста по поиску и возврату имущества должника ввиду невозможности осуществления их самостоятельно, в связи с чем, удовлетворили заявление частично.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закрытым акционерным обществом «Нижегородский лизинг» ФИО1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