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Файрушин З.Т. обратился в суд с возражением на результаты рассмотрения конкурсным управляющим банком государственной корпорации «Агентство по страхованию вкладов» его требования о включении в первую очередь реестра требований кредиторов должника (далее – реестр) в размере 1 073 534 рубля 13 копеек. Определением Арбитражного суда Республики Татарстан от 19.01.2022, постановлением Одиннадцатого арбитражного апелляционного суда от 25.04.2022, возражение признано обоснованным, требование в заявленном размере включено в состав первой очереди реестра. Постановлением Арбитражного суда Поволжского округа от 25.07.2022 принятые по спору судебные акты отменены, в удовлетворении заявленных требований отказано.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спору судебные акты, суд округа, руководствуясь статьёй 60, пунктом 5 статьи 189.85 Федерального закона от 26.10.2002 № 127-ФЗ «О несостоятельности (банкротстве)», исходил из пропуска заявителем срока на подачу возражений по результатам рассмотрения конкурсным управляющим его требования (просрочка составила более трёх лет) и отсутствия уважительных причин для его восстановления, в связи с чем отказал в удовлетворении заявленных требований.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Файрушину Заки Тагировичу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