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Кудин Олег Анатольевич обратился в суд с заявлением о привлечении Фоменко Светланы Анатольевны и Язовских А.В. к субсидиарной ответственности по обязательствам должника. Определением Арбитражного суда Тюменской области от 13.12.2021, оставленным без изменения постановлениями Восьмого арбитражного апелляционного суда от 06.04.2022 и Арбитражного суда Западно-Сибирского округа от 18.07.2022, заявление удовлетворено, производство по нему в части определения размера привлечённых к субсидиарной ответственности лиц приостановлено до окончания расчётов с кредиторами. В кассационной жалобе, поданной в Верховный Суд Российской Федерации, заявитель просит отменить названные судебные акты в части признания доказанным наличия оснований для привлечения его к субсидиарной ответственности по обязательствам должника, направить обособленный спор на новое рассмотрение в суд первой инстанции.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61.10, 61.11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установив, что заявитель наряду с руководителем осуществлял фактический контроль над деятельностью должника, являлся выгодоприобретателем причитавшихся кредиторам денежных средств, пришли к выводу о наличии оснований для его привлечения к субсидиарной ответственности, приостановив рассмотрение вопроса о её размере до окончания расчётов с кредиторами.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Язовских Антону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