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Оценив доводы, изложенные в ходатайстве, суд приходит к выводу о наличии оснований для его удовлетворения. 2 Руководствуясь статьями 102, 184, 185 Арбитражного процессуального кодекса Российской Федерации, статьями 333.22,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потребительского кооператива «Семейная копилка» удовлетворить. Предоставить потребительскому кооперативу «Семейная копилка»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