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21.12.2021, оставленным без изменения постановлением Тринадцатого арбитражного апелляционного суда от 18.03.2022, в удовлетворении заявления отказано. Постановлением Арбитражного суда Северо-Западного округа от 16.06.2022 определение и постановление апелляционного суда отменены, спор направлен на новое рассмотрение в суд первой инстанции. В кассационной жалобе ФИО1 просит отменить постановление окружного суда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заявленных банком доводов и обстоятельств, требуемых для проверки сделки, поэтому признал необходимость нового рассмотрения заявления в пределах имеющихся согласно статьям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АБСОЛЮТ СЭиО (подробнее) АНО "Департамент экспертных решений и судебных экспертиз" (подробнее) Межрайонная инспекция Федеральной налоговой службы №21 по Санкт-Петербургу (подробнее) ООО "Европейский центр судебных экспертов" (подробнее) ООО Инчкейп Олимп (подробнее) Отдел формирования, хранения, учёта и использования архивных документов Управления ИТ и ВА Комитета ЗАГС Санкт-Петербурга (подробнее) Управление Росреестра по Санкт-Петербургу (подробнее) ФНС России Межрайонная инспекция №7 по Ленинградской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