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15.04.2022 требование кредитора включено в первую очередь. Тринадцатый арбитражный апелляционный суд постановлением от 24.05.2022 отменил определение от 15.04.2022, признал требование подлежащим удовлетворению за счет имущества должника, оставшегося после удовлетворению требований кредиторов, включенных в реестр. Арбитражный суд Северо-Западного округа постановлением от 09.08.2022, постановление апелляционного суда от 24.05.2022 отменил, определение от 15.04.2022 изменил, включив требование в состав третьей очереди. В кассационной жалобе Вишнева О.С. просит об отмене постановления суда округа, ссылаясь на несправедливое изменение очередности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Правовое обоснование очередности удовлетворения требования заложено в мотивировочной части постановления окружного суда.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Вишневой О.С.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