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аналогичная кассационная жалоба подана в Арбитражный суд Московского округа и рассмотрена им (постановление от 09.11.2022). В сложившейся ситуации рассматриваемая кассационная жалоба не отвечает требованиям пункта 1 части 2 статьи 291.1 Арбитражного процессуального кодекса Российской Федерации, поэтому производство по ней подлежит прекращению. Руководствуясь пунктом 1 части 1 статьи 150 ,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«Абсолют» на определение Арбитражного суда города Москвы от 22.07.2022 и постановление Девятого арбитражного апелляционного суда от 25.08.2022 по делу № А40-38516/2021 прекратить. Судья Верховного Суда Российской Федерации Н.А. Ксенофонтова Суд: Верховный Суд РФ (подробнее) Истцы: ООО "Абсолют" (подробнее) ПАО Банк ВТБ (подробнее) Ответчики: ООО Абсолют (подробнее) Иные лица: ААУ "ОРИОН" (подробнее) Лозовая Анна Б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