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Девятого арбитражного апелляционного суда от 13.04.2022, оставленным без изменения постановлением Арбитражного суда Московского округа от 17.08.2022, производство по апелляционной жалобе Молчанова А.Л.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Молчанов А.Л. просит отменить судебные акты, принятые в отношении апелляционной жалобы, ссылаясь на отсутствие доступа к интернет - ресурсам.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Суды в пределах имеющейся компетенции оценили обозначенные заявителем обстоятельства пропуска срока на обжалование и правомерно признали их противоречащими части 6 статьи 121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Молчанову Артему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