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05.04.2021 процедура реализации имущества должника завершена с освобождением от дальнейшего исполнения обязательств. ФИО1 обратилась в суд с заявлением о пересмотре определения по вновь открывшимся обстоятельствам. Определением Арбитражного суда Челябинской области от 30.05.2022 заявление удовлетворено. Постановлением Восемнадцатого арбитражного апелляционного суда от 25.07.2022, оставленным без изменения постановлением Арбитражного суда Уральского округа от 05.09.2022, определение от 30.05.2022 отменено, производство по заявлению ФИО1 о пересмотре по вновь открывшимся обстоятельствам определения от 05.04.2021 прекращено. В кассационной жалобе ФИО1 просит об отмене судебных актов апелляционного и окружного судов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Требуемое изменение оценки обстоятельств пропуска срока на подачу заявления о пересмотре судебного акта по вновь открывшемуся обстоятельству не создает оснований для кассационного пересмотра следующей из части 2 статьи 312 Арбитражного процессуального кодекса Российской Федерации компетенции суда на решение вопроса о восстановлении срока подачи такого заявления.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Ассоциация "Саморегулируемая организация арбитражных управляющих "Южный Урал"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