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24.11.2021, оставленным без изменения постановлением Восемнадцатого арбитражного апелляционного суда от 18.04.2022 и постановлением Арбитражного суда Уральского округа от 20.07.2022, в удовлетворении заявления отказано. В кассационной жалобе Малиновский Д.Н. просит отменить судебные акты, ссылаясь на неправильную оценку оспариваемого договора.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недействительности брачного договора и в силу законодательства о банкротстве, и по общегражданским основаниям. Иная оценка обстоятельств заключения договора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Малиновскому Денису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