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23.03.2022, оставленным без изменения постановлением Одиннадцатого арбитражного апелляционного суда от 30.05.2022 и постановлением Арбитражного суда Поволжского округа от 19.08.2022, заявление удовлетворено. В кассационной жалобе Богомолов С.М. просит об отмене судебных актов, ссылаясь на несоответствие вывода о финансовой возможности первоначального кредитора предоставить заем обстоятельствам спора и представленным доказательствам, неосновательное восстановление срока для включения требования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предоставления заемных денежных средств первоначальным кредитором и признали их отвечающим критериям статей 71, 100 Федерального закона от 26.10.2002 № 127-ФЗ «О несостоятельности (банкротстве)» для включения основанного на них требования в реестр. Восстановление срока для включения требования в реестр отнесено к компетенции суда, применение которой не пересматривается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Богомолову Сергею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