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15.04.2022, оставленным без изменения постановлением Девятого арбитражного апелляционного суда от 21.06.2022 и постановлением Арбитражного суда Московского округа от 07.09.2022, требование банка в размере 2 713 653 рублей 70 копеек основного долга и процентов, 2 450 429 рублей 29 копеек неустойки включены в реестр без права банка на участие в первом собрании кредиторов. В кассационной жалобе Голубенко В.Г. просит об отмене судебных актов, ссылаясь на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банк, выплатив денежные средства по гарантии от 01.06.2017 № БГ/0017-01034, одновременно предъявил требования о возврате денежных средств к принципалу и поручителям (в том числе должнику) и, не получив от них удовлетворения, обратился в суд в пределах срока исковой давности, в связи с чем правило пункта 1 статьи 207 Гражданского кодекса Российской Федерации, на которое ссылается должник, неприменимо.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Голубенко Владимиру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