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кассационных жалобах, поданных в Верховный Суд Российской Федерации, заявители, ссылаясь на нарушение судами трех инстанций норм материального и процессуального права, просят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суды, исследовав и оценив представленные в материалы дела доказательства, учитывая вступившие 2 в законную силу судебные акты по делу № А40-186810/2019, руководствуясь положениями гражданского законодательства, регулирующими спорные правоотношения, исходили из недоказанности обстоятельств, положенных в основу исковых требований. Выводы судов подробно мотивированы. Доводы кассационных жалоб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«Мосинжпроект» и общества с ограниченной ответственностью «МИП-Строй №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