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24.01.2022 в удовлетворении требования отказано. Постановлением Семнадцатого арбитражного апелляционного суда от 11.05.2022, оставленным без изменения постановлением Арбитражного суда Уральского округа от 21.07.2022, определение отменено, требование Каменского А.Л. включено в третью очередь реестра. В кассационной жалобе Перепелкин С.В. просит об отмене судебных актов, ссылаясь на принятие апелляционным судом новых доказательств и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требование обоснованным как подтвержденное судебным актом суда общей юрисдикции и соответствующее статьям 71, 100 Федерального закона от 26.10.2002 № 127-ФЗ «О несостоятельности (банкротстве)».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Перепелкину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