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Бажановой Т.В. в Арбитражный суд города Санкт-Петербурга и Ленинградской области обратилось АО Международный банк Санкт-Петербурга в лице конкурсного управляющего ГК «АСВ» с заявлением о принятии обеспечительных мер. Определением Арбитражного суда города Санкт-Петербурга и Ленинградской области от 17.11.2021 заявление удовлетворено. Постановлением Тринадцатого арбитражного апелляционного суда от 23.03.2022 определение суда первой инстанции оставлено без изменения. Арбитражный суд Северо-Западного округа постановлением от 21.07.2022 указанные судебные акты оставил без изменения. Бажанова Т.В.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обеспечительных мер суды руководствовались положениями статей 90, 91 Арбитражного процессуального кодекса Российской Федерации, статьей 46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исходили из того, что заявленные обеспечительные меры соразмерны предмету рассмотрения, направлены на соблюдение законных интересов кредиторов должника, сохранение существующего положения сторон; необходимы и достаточны для обеспечения исполнения мероприятий, предусмотренных процедурой несостоятельности (банкротства), не приводят к негативным последствиям для должника и иных лиц и не нарушают баланс интересов сторон.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