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22.12.2021 заявление банка признано обоснованным; в отношении должника введена процедура реструктуризации долгов; требование банка в размере 1 074 582 рублей 56 копеек включено в третью очередь реестра как обеспеченное залогом имущества должника; назначен финансовый управляющий. Пятнадцатый арбитражный апелляционный суд постановлением от 04.05.2022 изменил определение от 22.12.2021: включил требование банка в размере 1 067 820 рублей 81 копейки основного долга, 6 781 рубля 77 копеек неустойки в третью очередь реестра как обеспеченных залогом имущества должника, признав учет неустойки отдельно от долга. Арбитражный суд Северо-Кавказского округа постановлением от 15.07.2022 постановление апелляционного суда от 04.05.2022 оставил без изменения. В кассационной жалобе ФИО1 просит об отмене судебных актов, ссылаясь на недобросовестность кредитора, скрывшего значимые для дела обстоятельства.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банка, наличии и размере подлежащей включению в реестр задолженности основаны на представленных доказательствах и соответствуют статьям 213.3 , 213.5 , 213.6 , 213.10 Федерального закона от 26.10.2002 № 127-ФЗ «О несостоятельности (банкротстве)». Суды признали солидарный характер обязательств должника и его супруги по займу и залогу, не препятствующий предъявлению возникших из них требований в деле о банкротстве должника.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(подробнее) Иные лица: Главное управление министерства внутренних дел Российской Федерации по Ростовской области (подробнее) НП Саморегулируемая организация арбитражных управляющих "Межрегиональный центр экспертов и профессиональных управляющих" (подробнее) ФУ Ханбеков А.В.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